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6312" w14:textId="77777777" w:rsidR="00DC2063" w:rsidRDefault="00000000">
      <w:pPr>
        <w:spacing w:after="80"/>
      </w:pPr>
      <w:r>
        <w:rPr>
          <w:b/>
          <w:bCs/>
          <w:smallCaps/>
          <w:color w:val="1A2E5C"/>
          <w:sz w:val="16"/>
          <w:szCs w:val="16"/>
        </w:rPr>
        <w:t xml:space="preserve">P r o c e d u r a l   J u s t i c e   H u b     ·     P r o c e d u r a l   J u s t i c e   P r o j e c t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DC2063" w14:paraId="11F8B8DE" w14:textId="77777777">
        <w:trPr>
          <w:cantSplit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E5C"/>
            <w:tcMar>
              <w:top w:w="240" w:type="dxa"/>
              <w:left w:w="360" w:type="dxa"/>
              <w:bottom w:w="220" w:type="dxa"/>
              <w:right w:w="360" w:type="dxa"/>
            </w:tcMar>
          </w:tcPr>
          <w:p w14:paraId="1147676F" w14:textId="77777777" w:rsidR="00DC2063" w:rsidRDefault="00000000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56"/>
                <w:szCs w:val="56"/>
              </w:rPr>
              <w:t>R⁴ Bench Card</w:t>
            </w:r>
          </w:p>
          <w:p w14:paraId="7B57C225" w14:textId="77777777" w:rsidR="00DC2063" w:rsidRDefault="00000000">
            <w:pPr>
              <w:spacing w:after="60"/>
            </w:pPr>
            <w:r>
              <w:rPr>
                <w:rFonts w:ascii="Georgia" w:eastAsia="Georgia" w:hAnsi="Georgia" w:cs="Georgia"/>
                <w:color w:val="FFFFFF"/>
                <w:sz w:val="32"/>
                <w:szCs w:val="32"/>
              </w:rPr>
              <w:t xml:space="preserve">Intellectual Humility </w:t>
            </w:r>
            <w:r>
              <w:rPr>
                <w:rFonts w:ascii="Georgia" w:eastAsia="Georgia" w:hAnsi="Georgia" w:cs="Georgia"/>
                <w:i/>
                <w:iCs/>
                <w:color w:val="E8DEC1"/>
                <w:sz w:val="32"/>
                <w:szCs w:val="32"/>
              </w:rPr>
              <w:t>by Design</w:t>
            </w:r>
          </w:p>
          <w:p w14:paraId="70C007D0" w14:textId="77777777" w:rsidR="00DC2063" w:rsidRDefault="00000000">
            <w:r>
              <w:rPr>
                <w:color w:val="FFFFFF"/>
                <w:sz w:val="18"/>
                <w:szCs w:val="18"/>
              </w:rPr>
              <w:t xml:space="preserve">Recognize  ·  Reflect  ·  Respond  ·  Reassess  —  A practical routine for trial and appellate judges</w:t>
            </w:r>
          </w:p>
        </w:tc>
      </w:tr>
      <w:tr w:rsidR="00DC2063" w14:paraId="50FD3593" w14:textId="77777777">
        <w:trPr>
          <w:cantSplit/>
        </w:trPr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DEC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8CB55" w14:textId="77777777" w:rsidR="00DC2063" w:rsidRDefault="00000000">
            <w:pPr>
              <w:spacing w:line="80" w:lineRule="exact"/>
            </w:pPr>
            <w:r>
              <w:rPr>
                <w:sz w:val="6"/>
                <w:szCs w:val="6"/>
              </w:rPr>
              <w:t xml:space="preserve"> </w:t>
            </w:r>
          </w:p>
        </w:tc>
      </w:tr>
    </w:tbl>
    <w:p w14:paraId="1CFD1D00" w14:textId="77777777" w:rsidR="00DC2063" w:rsidRDefault="00000000">
      <w:pPr>
        <w:spacing w:before="10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0"/>
        <w:gridCol w:w="7740"/>
      </w:tblGrid>
      <w:tr w:rsidR="00DC2063" w14:paraId="76BCD9D5" w14:textId="77777777">
        <w:trPr>
          <w:cantSplit/>
        </w:trPr>
        <w:tc>
          <w:tcPr>
            <w:tcW w:w="1620" w:type="dxa"/>
            <w:tcBorders>
              <w:top w:val="single" w:sz="4" w:space="0" w:color="D0D5DD"/>
              <w:left w:val="none" w:sz="0" w:space="0" w:color="FFFFFF"/>
              <w:bottom w:val="single" w:sz="4" w:space="0" w:color="D0D5DD"/>
              <w:right w:val="single" w:sz="4" w:space="0" w:color="D0D5DD"/>
            </w:tcBorders>
            <w:shd w:val="clear" w:color="auto" w:fill="F5EFE0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54E3F40" w14:textId="77777777" w:rsidR="00DC2063" w:rsidRDefault="00000000">
            <w:pPr>
              <w:spacing w:after="20"/>
            </w:pPr>
            <w:r>
              <w:rPr>
                <w:rFonts w:ascii="Georgia" w:eastAsia="Georgia" w:hAnsi="Georgia" w:cs="Georgia"/>
                <w:b/>
                <w:bCs/>
                <w:color w:val="1A2E5C"/>
                <w:sz w:val="60"/>
                <w:szCs w:val="60"/>
              </w:rPr>
              <w:t>1</w:t>
            </w:r>
          </w:p>
          <w:p w14:paraId="15DD4136" w14:textId="77777777" w:rsidR="00DC2063" w:rsidRDefault="00000000">
            <w:r>
              <w:rPr>
                <w:b/>
                <w:bCs/>
                <w:color w:val="12244A"/>
              </w:rPr>
              <w:t>Recognize fallibility</w:t>
            </w:r>
          </w:p>
        </w:tc>
        <w:tc>
          <w:tcPr>
            <w:tcW w:w="7740" w:type="dxa"/>
            <w:tcBorders>
              <w:top w:val="single" w:sz="4" w:space="0" w:color="D0D5DD"/>
              <w:left w:val="none" w:sz="0" w:space="0" w:color="FFFFFF"/>
              <w:bottom w:val="single" w:sz="4" w:space="0" w:color="D0D5DD"/>
              <w:right w:val="none" w:sz="0" w:space="0" w:color="FFFFFF"/>
            </w:tcBorders>
            <w:tcMar>
              <w:top w:w="140" w:type="dxa"/>
              <w:left w:w="240" w:type="dxa"/>
              <w:bottom w:w="140" w:type="dxa"/>
              <w:right w:w="160" w:type="dxa"/>
            </w:tcMar>
          </w:tcPr>
          <w:p w14:paraId="641B689E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What would change my mind?</w:t>
            </w:r>
          </w:p>
          <w:p w14:paraId="0A89517D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Consider the opposite: write two plausible counterpoints.</w:t>
            </w:r>
          </w:p>
          <w:p w14:paraId="5107E4F4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>Premortem: If this decision is later criticized or reversed, why?</w:t>
            </w:r>
          </w:p>
          <w:p w14:paraId="36E7357D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Outside view: How would a neutral colleague frame this?</w:t>
            </w:r>
          </w:p>
          <w:p w14:paraId="5EFBD5DF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>Reminder: Revision is progress; better reasons are the goal.</w:t>
            </w:r>
          </w:p>
          <w:p w14:paraId="7E48C791" w14:textId="77777777" w:rsidR="00DC2063" w:rsidRDefault="00000000">
            <w:pPr>
              <w:spacing w:before="60"/>
              <w:ind w:left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Trial: </w:t>
            </w:r>
            <w:r>
              <w:rPr>
                <w:sz w:val="17"/>
                <w:szCs w:val="17"/>
              </w:rPr>
              <w:t>Name one uncertainty or assumption you should test before ruling.</w:t>
            </w:r>
          </w:p>
          <w:p w14:paraId="491CF3AC" w14:textId="77777777" w:rsidR="00DC2063" w:rsidRDefault="00000000">
            <w:pPr>
              <w:spacing w:before="60"/>
              <w:ind w:left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Appellate: </w:t>
            </w:r>
            <w:r>
              <w:rPr>
                <w:sz w:val="17"/>
                <w:szCs w:val="17"/>
              </w:rPr>
              <w:t>Note a plausible alternative reading and the limits of the holding.</w:t>
            </w:r>
          </w:p>
        </w:tc>
      </w:tr>
      <w:tr w:rsidR="00DC2063" w14:paraId="58DC0437" w14:textId="77777777">
        <w:trPr>
          <w:cantSplit/>
        </w:trPr>
        <w:tc>
          <w:tcPr>
            <w:tcW w:w="1620" w:type="dxa"/>
            <w:tcBorders>
              <w:top w:val="single" w:sz="4" w:space="0" w:color="D0D5DD"/>
              <w:left w:val="none" w:sz="0" w:space="0" w:color="FFFFFF"/>
              <w:bottom w:val="single" w:sz="4" w:space="0" w:color="D0D5DD"/>
              <w:right w:val="single" w:sz="4" w:space="0" w:color="D0D5DD"/>
            </w:tcBorders>
            <w:shd w:val="clear" w:color="auto" w:fill="F5EFE0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5FDC41A" w14:textId="77777777" w:rsidR="00DC2063" w:rsidRDefault="00000000">
            <w:pPr>
              <w:spacing w:after="20"/>
            </w:pPr>
            <w:r>
              <w:rPr>
                <w:rFonts w:ascii="Georgia" w:eastAsia="Georgia" w:hAnsi="Georgia" w:cs="Georgia"/>
                <w:b/>
                <w:bCs/>
                <w:color w:val="1A2E5C"/>
                <w:sz w:val="60"/>
                <w:szCs w:val="60"/>
              </w:rPr>
              <w:t>2</w:t>
            </w:r>
          </w:p>
          <w:p w14:paraId="3358FFB9" w14:textId="77777777" w:rsidR="00DC2063" w:rsidRDefault="00000000">
            <w:r>
              <w:rPr>
                <w:b/>
                <w:bCs/>
                <w:color w:val="12244A"/>
              </w:rPr>
              <w:t>Reflect before ruling</w:t>
            </w:r>
          </w:p>
        </w:tc>
        <w:tc>
          <w:tcPr>
            <w:tcW w:w="7740" w:type="dxa"/>
            <w:tcBorders>
              <w:top w:val="single" w:sz="4" w:space="0" w:color="D0D5DD"/>
              <w:left w:val="none" w:sz="0" w:space="0" w:color="FFFFFF"/>
              <w:bottom w:val="single" w:sz="4" w:space="0" w:color="D0D5DD"/>
              <w:right w:val="none" w:sz="0" w:space="0" w:color="FFFFFF"/>
            </w:tcBorders>
            <w:tcMar>
              <w:top w:w="140" w:type="dxa"/>
              <w:left w:w="240" w:type="dxa"/>
              <w:bottom w:w="140" w:type="dxa"/>
              <w:right w:w="160" w:type="dxa"/>
            </w:tcMar>
          </w:tcPr>
          <w:p w14:paraId="785733B8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Voice first: “Here is what I hear—did I get that right?”</w:t>
            </w:r>
          </w:p>
          <w:p w14:paraId="4468200A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Ask each side (one sentence): “What is your strongest point, and the best legal authority for it?”</w:t>
            </w:r>
          </w:p>
          <w:p w14:paraId="69A205C2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Quick procedural-justice check: voice, neutrality, respectful treatment, and trustworthiness.</w:t>
            </w:r>
          </w:p>
          <w:p w14:paraId="07C3D36C" w14:textId="77777777" w:rsidR="00DC2063" w:rsidRDefault="00000000">
            <w:pPr>
              <w:spacing w:before="60"/>
              <w:ind w:left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Trial: </w:t>
            </w:r>
            <w:r>
              <w:rPr>
                <w:sz w:val="17"/>
                <w:szCs w:val="17"/>
              </w:rPr>
              <w:t>Paraphrase each party’s key point; invite a one-sentence correction; pause or take the matter under advisement if tempers rise.</w:t>
            </w:r>
          </w:p>
          <w:p w14:paraId="7E9297F1" w14:textId="77777777" w:rsidR="00DC2063" w:rsidRDefault="00000000">
            <w:pPr>
              <w:spacing w:before="60"/>
              <w:ind w:left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Appellate: </w:t>
            </w:r>
            <w:r>
              <w:rPr>
                <w:sz w:val="17"/>
                <w:szCs w:val="17"/>
              </w:rPr>
              <w:t>In a bench memo, write one sentence stating each side’s best case; in conference, start with that before voting; ask what you might be missing.</w:t>
            </w:r>
          </w:p>
        </w:tc>
      </w:tr>
      <w:tr w:rsidR="00DC2063" w14:paraId="55A197A7" w14:textId="77777777">
        <w:trPr>
          <w:cantSplit/>
        </w:trPr>
        <w:tc>
          <w:tcPr>
            <w:tcW w:w="1620" w:type="dxa"/>
            <w:tcBorders>
              <w:top w:val="single" w:sz="4" w:space="0" w:color="D0D5DD"/>
              <w:left w:val="none" w:sz="0" w:space="0" w:color="FFFFFF"/>
              <w:bottom w:val="single" w:sz="4" w:space="0" w:color="D0D5DD"/>
              <w:right w:val="single" w:sz="4" w:space="0" w:color="D0D5DD"/>
            </w:tcBorders>
            <w:shd w:val="clear" w:color="auto" w:fill="F5EFE0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B9AA200" w14:textId="77777777" w:rsidR="00DC2063" w:rsidRDefault="00000000">
            <w:pPr>
              <w:spacing w:after="20"/>
            </w:pPr>
            <w:r>
              <w:rPr>
                <w:rFonts w:ascii="Georgia" w:eastAsia="Georgia" w:hAnsi="Georgia" w:cs="Georgia"/>
                <w:b/>
                <w:bCs/>
                <w:color w:val="1A2E5C"/>
                <w:sz w:val="60"/>
                <w:szCs w:val="60"/>
              </w:rPr>
              <w:t>3</w:t>
            </w:r>
          </w:p>
          <w:p w14:paraId="4645A2AE" w14:textId="77777777" w:rsidR="00DC2063" w:rsidRDefault="00000000">
            <w:r>
              <w:rPr>
                <w:b/>
                <w:bCs/>
                <w:color w:val="12244A"/>
              </w:rPr>
              <w:t>Respond with reasons</w:t>
            </w:r>
          </w:p>
        </w:tc>
        <w:tc>
          <w:tcPr>
            <w:tcW w:w="7740" w:type="dxa"/>
            <w:tcBorders>
              <w:top w:val="single" w:sz="4" w:space="0" w:color="D0D5DD"/>
              <w:left w:val="none" w:sz="0" w:space="0" w:color="FFFFFF"/>
              <w:bottom w:val="single" w:sz="4" w:space="0" w:color="D0D5DD"/>
              <w:right w:val="none" w:sz="0" w:space="0" w:color="FFFFFF"/>
            </w:tcBorders>
            <w:tcMar>
              <w:top w:w="140" w:type="dxa"/>
              <w:left w:w="240" w:type="dxa"/>
              <w:bottom w:w="140" w:type="dxa"/>
              <w:right w:w="160" w:type="dxa"/>
            </w:tcMar>
          </w:tcPr>
          <w:p w14:paraId="787ECE64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Roadmap early (point-first when practical): issue/outcome → rule/standard → key facts → analysis → remedy.</w:t>
            </w:r>
          </w:p>
          <w:p w14:paraId="33C0C2B9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Address the strongest opposing point (as the party would state it).</w:t>
            </w:r>
          </w:p>
          <w:p w14:paraId="04FAF85F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Name constraints (standard of review; statutory bounds; record limits).</w:t>
            </w:r>
          </w:p>
          <w:p w14:paraId="2B16FABA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Add one sentence recognizing the human stakes (tone signals care, not bias).</w:t>
            </w:r>
          </w:p>
          <w:p w14:paraId="2B9D7D79" w14:textId="77777777" w:rsidR="00DC2063" w:rsidRDefault="00000000">
            <w:pPr>
              <w:spacing w:before="60"/>
              <w:ind w:left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Trial: </w:t>
            </w:r>
            <w:r>
              <w:rPr>
                <w:sz w:val="17"/>
                <w:szCs w:val="17"/>
              </w:rPr>
              <w:t>Give step-by-step oral reasons; make next steps clear.</w:t>
            </w:r>
          </w:p>
          <w:p w14:paraId="53E364DF" w14:textId="77777777" w:rsidR="00DC2063" w:rsidRDefault="00000000">
            <w:pPr>
              <w:spacing w:before="60"/>
              <w:ind w:left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Appellate: </w:t>
            </w:r>
            <w:r>
              <w:rPr>
                <w:sz w:val="17"/>
                <w:szCs w:val="17"/>
              </w:rPr>
              <w:t>Engage the best contrary authority respectfully; explain why your reading prevails; keep the holding bounded.</w:t>
            </w:r>
          </w:p>
        </w:tc>
      </w:tr>
      <w:tr w:rsidR="00DC2063" w14:paraId="259F78C3" w14:textId="77777777">
        <w:trPr>
          <w:cantSplit/>
        </w:trPr>
        <w:tc>
          <w:tcPr>
            <w:tcW w:w="1620" w:type="dxa"/>
            <w:tcBorders>
              <w:top w:val="single" w:sz="4" w:space="0" w:color="D0D5DD"/>
              <w:left w:val="none" w:sz="0" w:space="0" w:color="FFFFFF"/>
              <w:bottom w:val="single" w:sz="4" w:space="0" w:color="D0D5DD"/>
              <w:right w:val="single" w:sz="4" w:space="0" w:color="D0D5DD"/>
            </w:tcBorders>
            <w:shd w:val="clear" w:color="auto" w:fill="F5EFE0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343B6F0" w14:textId="77777777" w:rsidR="00DC2063" w:rsidRDefault="00000000">
            <w:pPr>
              <w:spacing w:after="20"/>
            </w:pPr>
            <w:r>
              <w:rPr>
                <w:rFonts w:ascii="Georgia" w:eastAsia="Georgia" w:hAnsi="Georgia" w:cs="Georgia"/>
                <w:b/>
                <w:bCs/>
                <w:color w:val="1A2E5C"/>
                <w:sz w:val="60"/>
                <w:szCs w:val="60"/>
              </w:rPr>
              <w:t>4</w:t>
            </w:r>
          </w:p>
          <w:p w14:paraId="47CDE3CA" w14:textId="77777777" w:rsidR="00DC2063" w:rsidRDefault="00000000">
            <w:r>
              <w:rPr>
                <w:b/>
                <w:bCs/>
                <w:color w:val="12244A"/>
              </w:rPr>
              <w:t>Reassess after decision</w:t>
            </w:r>
          </w:p>
        </w:tc>
        <w:tc>
          <w:tcPr>
            <w:tcW w:w="7740" w:type="dxa"/>
            <w:tcBorders>
              <w:top w:val="single" w:sz="4" w:space="0" w:color="D0D5DD"/>
              <w:left w:val="none" w:sz="0" w:space="0" w:color="FFFFFF"/>
              <w:bottom w:val="single" w:sz="4" w:space="0" w:color="D0D5DD"/>
              <w:right w:val="none" w:sz="0" w:space="0" w:color="FFFFFF"/>
            </w:tcBorders>
            <w:tcMar>
              <w:top w:w="140" w:type="dxa"/>
              <w:left w:w="240" w:type="dxa"/>
              <w:bottom w:w="140" w:type="dxa"/>
              <w:right w:w="160" w:type="dxa"/>
            </w:tcMar>
          </w:tcPr>
          <w:p w14:paraId="40A8849D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Second look: read as the losing party—did I fairly state and answer the best point?</w:t>
            </w:r>
          </w:p>
          <w:p w14:paraId="1BF458C6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Invite perspective; treat disagreement as data.</w:t>
            </w:r>
          </w:p>
          <w:p w14:paraId="07FE6053" w14:textId="77777777" w:rsidR="00DC2063" w:rsidRDefault="00000000">
            <w:pPr>
              <w:spacing w:after="30"/>
              <w:ind w:left="200" w:hanging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>Optional: 15-minute quarterly “R⁴ retro” — review reversals and unclear passages; make one template tweak; log it for next time.</w:t>
            </w:r>
          </w:p>
          <w:p w14:paraId="44C21310" w14:textId="77777777" w:rsidR="00DC2063" w:rsidRDefault="00000000">
            <w:pPr>
              <w:spacing w:before="60"/>
              <w:ind w:left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Trial: </w:t>
            </w:r>
            <w:r>
              <w:rPr>
                <w:sz w:val="17"/>
                <w:szCs w:val="17"/>
              </w:rPr>
              <w:t>Do a brief tone and clarity pass; update templates; log one improvement.</w:t>
            </w:r>
          </w:p>
          <w:p w14:paraId="64622E84" w14:textId="77777777" w:rsidR="00DC2063" w:rsidRDefault="00000000">
            <w:pPr>
              <w:spacing w:before="60"/>
              <w:ind w:left="20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Appellate: </w:t>
            </w:r>
            <w:r>
              <w:rPr>
                <w:sz w:val="17"/>
                <w:szCs w:val="17"/>
              </w:rPr>
              <w:t>Ask a colleague to present the strongest contrary argument; revise where others expose gaps.</w:t>
            </w:r>
          </w:p>
        </w:tc>
      </w:tr>
    </w:tbl>
    <w:p w14:paraId="71E89F83" w14:textId="77777777" w:rsidR="00DC2063" w:rsidRDefault="00000000">
      <w:pPr>
        <w:spacing w:before="200" w:after="80"/>
      </w:pPr>
      <w:r>
        <w:rPr>
          <w:b/>
          <w:bCs/>
          <w:smallCaps/>
          <w:color w:val="1A2E5C"/>
          <w:sz w:val="16"/>
          <w:szCs w:val="16"/>
        </w:rPr>
        <w:t>3 0 - S e c o n d   V e r s i o n     —     W h e n   t h e   B e n c h   P a c e   I s   F a s t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2340"/>
        <w:gridCol w:w="2340"/>
      </w:tblGrid>
      <w:tr w:rsidR="00DC2063" w14:paraId="742CA5B9" w14:textId="77777777">
        <w:trPr>
          <w:cantSplit/>
        </w:trPr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E5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43C5A28" w14:textId="77777777" w:rsidR="00DC2063" w:rsidRDefault="00000000">
            <w:pPr>
              <w:spacing w:after="30"/>
            </w:pPr>
            <w:r>
              <w:rPr>
                <w:rFonts w:ascii="Georgia" w:eastAsia="Georgia" w:hAnsi="Georgia" w:cs="Georgia"/>
                <w:b/>
                <w:bCs/>
                <w:color w:val="E8DEC1"/>
              </w:rPr>
              <w:t>R1</w:t>
            </w:r>
          </w:p>
          <w:p w14:paraId="1A5B63DC" w14:textId="77777777" w:rsidR="00DC2063" w:rsidRDefault="00000000">
            <w:pPr>
              <w:spacing w:line="230" w:lineRule="auto"/>
            </w:pPr>
            <w:r>
              <w:rPr>
                <w:color w:val="FFFFFF"/>
                <w:sz w:val="15"/>
                <w:szCs w:val="15"/>
              </w:rPr>
              <w:t>Name one possible error source.</w:t>
            </w:r>
          </w:p>
        </w:tc>
        <w:tc>
          <w:tcPr>
            <w:tcW w:w="2340" w:type="dxa"/>
            <w:tcBorders>
              <w:top w:val="none" w:sz="0" w:space="0" w:color="FFFFFF"/>
              <w:left w:val="single" w:sz="4" w:space="0" w:color="FFFFFF"/>
              <w:bottom w:val="none" w:sz="0" w:space="0" w:color="FFFFFF"/>
              <w:right w:val="none" w:sz="0" w:space="0" w:color="FFFFFF"/>
            </w:tcBorders>
            <w:shd w:val="clear" w:color="auto" w:fill="1A2E5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F12B2A8" w14:textId="77777777" w:rsidR="00DC2063" w:rsidRDefault="00000000">
            <w:pPr>
              <w:spacing w:after="30"/>
            </w:pPr>
            <w:r>
              <w:rPr>
                <w:rFonts w:ascii="Georgia" w:eastAsia="Georgia" w:hAnsi="Georgia" w:cs="Georgia"/>
                <w:b/>
                <w:bCs/>
                <w:color w:val="E8DEC1"/>
              </w:rPr>
              <w:t>R2</w:t>
            </w:r>
          </w:p>
          <w:p w14:paraId="4B5CB8AA" w14:textId="77777777" w:rsidR="00DC2063" w:rsidRDefault="00000000">
            <w:pPr>
              <w:spacing w:line="230" w:lineRule="auto"/>
            </w:pPr>
            <w:r>
              <w:rPr>
                <w:color w:val="FFFFFF"/>
                <w:sz w:val="15"/>
                <w:szCs w:val="15"/>
              </w:rPr>
              <w:t>Confirm you captured each side’s strongest case.</w:t>
            </w:r>
          </w:p>
        </w:tc>
        <w:tc>
          <w:tcPr>
            <w:tcW w:w="2340" w:type="dxa"/>
            <w:tcBorders>
              <w:top w:val="none" w:sz="0" w:space="0" w:color="FFFFFF"/>
              <w:left w:val="single" w:sz="4" w:space="0" w:color="FFFFFF"/>
              <w:bottom w:val="none" w:sz="0" w:space="0" w:color="FFFFFF"/>
              <w:right w:val="none" w:sz="0" w:space="0" w:color="FFFFFF"/>
            </w:tcBorders>
            <w:shd w:val="clear" w:color="auto" w:fill="1A2E5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3F251F3C" w14:textId="77777777" w:rsidR="00DC2063" w:rsidRDefault="00000000">
            <w:pPr>
              <w:spacing w:after="30"/>
            </w:pPr>
            <w:r>
              <w:rPr>
                <w:rFonts w:ascii="Georgia" w:eastAsia="Georgia" w:hAnsi="Georgia" w:cs="Georgia"/>
                <w:b/>
                <w:bCs/>
                <w:color w:val="E8DEC1"/>
              </w:rPr>
              <w:t>R3</w:t>
            </w:r>
          </w:p>
          <w:p w14:paraId="0E2C1399" w14:textId="77777777" w:rsidR="00DC2063" w:rsidRDefault="00000000">
            <w:pPr>
              <w:spacing w:line="230" w:lineRule="auto"/>
            </w:pPr>
            <w:r>
              <w:rPr>
                <w:color w:val="FFFFFF"/>
                <w:sz w:val="15"/>
                <w:szCs w:val="15"/>
              </w:rPr>
              <w:t>Give clear, step-by-step reasons addressing the key opposing point.</w:t>
            </w:r>
          </w:p>
        </w:tc>
        <w:tc>
          <w:tcPr>
            <w:tcW w:w="2340" w:type="dxa"/>
            <w:tcBorders>
              <w:top w:val="none" w:sz="0" w:space="0" w:color="FFFFFF"/>
              <w:left w:val="single" w:sz="4" w:space="0" w:color="FFFFFF"/>
              <w:bottom w:val="none" w:sz="0" w:space="0" w:color="FFFFFF"/>
              <w:right w:val="none" w:sz="0" w:space="0" w:color="FFFFFF"/>
            </w:tcBorders>
            <w:shd w:val="clear" w:color="auto" w:fill="1A2E5C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BF87D0B" w14:textId="77777777" w:rsidR="00DC2063" w:rsidRDefault="00000000">
            <w:pPr>
              <w:spacing w:after="30"/>
            </w:pPr>
            <w:r>
              <w:rPr>
                <w:rFonts w:ascii="Georgia" w:eastAsia="Georgia" w:hAnsi="Georgia" w:cs="Georgia"/>
                <w:b/>
                <w:bCs/>
                <w:color w:val="E8DEC1"/>
              </w:rPr>
              <w:t>R4</w:t>
            </w:r>
          </w:p>
          <w:p w14:paraId="16E1EC23" w14:textId="77777777" w:rsidR="00DC2063" w:rsidRDefault="00000000">
            <w:pPr>
              <w:spacing w:line="230" w:lineRule="auto"/>
            </w:pPr>
            <w:r>
              <w:rPr>
                <w:color w:val="FFFFFF"/>
                <w:sz w:val="15"/>
                <w:szCs w:val="15"/>
              </w:rPr>
              <w:t>Invite perspective; log one improvement for next time.</w:t>
            </w:r>
          </w:p>
        </w:tc>
      </w:tr>
    </w:tbl>
    <w:p w14:paraId="6FDE8E15" w14:textId="77777777" w:rsidR="00DC2063" w:rsidRDefault="00000000">
      <w:r>
        <w:br w:type="page"/>
      </w:r>
    </w:p>
    <w:p w14:paraId="47FDC0C7" w14:textId="77777777" w:rsidR="00DC2063" w:rsidRDefault="00000000">
      <w:pPr>
        <w:spacing w:after="80"/>
      </w:pPr>
      <w:r>
        <w:rPr>
          <w:b/>
          <w:bCs/>
          <w:smallCaps/>
          <w:color w:val="1A2E5C"/>
          <w:sz w:val="16"/>
          <w:szCs w:val="16"/>
        </w:rPr>
        <w:lastRenderedPageBreak/>
        <w:t xml:space="preserve">P r o c e d u r a l   J u s t i c e   H u b     ·     P r o c e d u r a l   J u s t i c e   P r o j e c t</w:t>
      </w:r>
    </w:p>
    <w:p w14:paraId="6CD96396" w14:textId="77777777" w:rsidR="00DC2063" w:rsidRDefault="00000000">
      <w:pPr>
        <w:spacing w:after="80"/>
      </w:pPr>
      <w:r>
        <w:rPr>
          <w:b/>
          <w:bCs/>
          <w:smallCaps/>
          <w:color w:val="1A2E5C"/>
          <w:sz w:val="16"/>
          <w:szCs w:val="16"/>
        </w:rPr>
        <w:t>H o w   t o   U s e</w:t>
      </w:r>
    </w:p>
    <w:p w14:paraId="6ACE74C4" w14:textId="77777777" w:rsidR="00DC2063" w:rsidRDefault="00000000">
      <w:pPr>
        <w:spacing w:after="100" w:line="250" w:lineRule="auto"/>
      </w:pPr>
      <w:r>
        <w:rPr>
          <w:sz w:val="17"/>
          <w:szCs w:val="17"/>
        </w:rPr>
        <w:t>Pick one prompt from each R when the case is routine; use more prompts when the stakes, uncertainty, or time pressure increase. Use “in chambers” prompts before issuing a decision; use “on the record” prompts to make voice, neutrality, and constraint visible.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C2063" w14:paraId="4A48154D" w14:textId="77777777"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0D626609" w14:textId="77777777" w:rsidR="00DC2063" w:rsidRDefault="00000000">
            <w:pPr>
              <w:spacing w:after="20"/>
            </w:pPr>
            <w:r>
              <w:rPr>
                <w:b/>
                <w:bCs/>
                <w:smallCaps/>
                <w:color w:val="1A2E5C"/>
                <w:sz w:val="16"/>
                <w:szCs w:val="16"/>
              </w:rPr>
              <w:t>I n   C h a m b e r s</w:t>
            </w:r>
          </w:p>
          <w:p w14:paraId="12F1313A" w14:textId="77777777" w:rsidR="00DC2063" w:rsidRDefault="00000000">
            <w:pPr>
              <w:spacing w:after="80"/>
            </w:pPr>
            <w:r>
              <w:rPr>
                <w:i/>
                <w:iCs/>
                <w:color w:val="5A6273"/>
                <w:sz w:val="15"/>
                <w:szCs w:val="15"/>
              </w:rPr>
              <w:t>trial &amp; appellate</w:t>
            </w:r>
          </w:p>
          <w:p w14:paraId="49FA3C43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Write the best argument for the outcome you are not inclined to reach—using the other side’s own framing.</w:t>
            </w:r>
          </w:p>
          <w:p w14:paraId="1FE6A70A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Identify one assumption you are making (about facts, credibility, or law) and what evidence would test it.</w:t>
            </w:r>
          </w:p>
          <w:p w14:paraId="6EA2F628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>Ask: “If I am wrong, where am I most likely wrong—facts, law, or procedure?”</w:t>
            </w:r>
          </w:p>
          <w:p w14:paraId="7CCA6054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Use a short premortem: “A reviewing court (or the public) criticizes this—why?”</w:t>
            </w:r>
          </w:p>
          <w:p w14:paraId="7ADE63D5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When you disagree with a colleague’s view, treat it as information: “What are you seeing that I am not?”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40A8E32E" w14:textId="77777777" w:rsidR="00DC2063" w:rsidRDefault="00000000">
            <w:pPr>
              <w:spacing w:after="20"/>
            </w:pPr>
            <w:r>
              <w:rPr>
                <w:b/>
                <w:bCs/>
                <w:smallCaps/>
                <w:color w:val="1A2E5C"/>
                <w:sz w:val="16"/>
                <w:szCs w:val="16"/>
              </w:rPr>
              <w:t>O n   t h e   R e c o r d</w:t>
            </w:r>
          </w:p>
          <w:p w14:paraId="2A203ED8" w14:textId="77777777" w:rsidR="00DC2063" w:rsidRDefault="00000000">
            <w:pPr>
              <w:spacing w:after="80"/>
            </w:pPr>
            <w:r>
              <w:rPr>
                <w:i/>
                <w:iCs/>
                <w:color w:val="5A6273"/>
                <w:sz w:val="15"/>
                <w:szCs w:val="15"/>
              </w:rPr>
              <w:t>trial</w:t>
            </w:r>
          </w:p>
          <w:p w14:paraId="3217A3DC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Summarize what you heard before ruling; invite a one-sentence correction.</w:t>
            </w:r>
          </w:p>
          <w:p w14:paraId="4FF5FC06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Explain the next step (what happens now; what the party must do; when the court will act).</w:t>
            </w:r>
          </w:p>
          <w:p w14:paraId="2AD24880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If emotion is high, name the process move: “I’m going to pause so I can decide carefully.”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200" w:type="dxa"/>
            </w:tcMar>
          </w:tcPr>
          <w:p w14:paraId="60341391" w14:textId="77777777" w:rsidR="00DC2063" w:rsidRDefault="00000000">
            <w:pPr>
              <w:spacing w:after="20"/>
            </w:pPr>
            <w:r>
              <w:rPr>
                <w:b/>
                <w:bCs/>
                <w:smallCaps/>
                <w:color w:val="1A2E5C"/>
                <w:sz w:val="16"/>
                <w:szCs w:val="16"/>
              </w:rPr>
              <w:t>C o n f e r e n c e   &amp;   D r a f t i n g</w:t>
            </w:r>
          </w:p>
          <w:p w14:paraId="48DF7CF0" w14:textId="77777777" w:rsidR="00DC2063" w:rsidRDefault="00000000">
            <w:pPr>
              <w:spacing w:after="80"/>
            </w:pPr>
            <w:r>
              <w:rPr>
                <w:i/>
                <w:iCs/>
                <w:color w:val="5A6273"/>
                <w:sz w:val="15"/>
                <w:szCs w:val="15"/>
              </w:rPr>
              <w:t>appellate</w:t>
            </w:r>
          </w:p>
          <w:p w14:paraId="40C8E62B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Start conference by stating each side’s best point (even if you will reject it).</w:t>
            </w:r>
          </w:p>
          <w:p w14:paraId="7632D76F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Assign a rotating “counterargument” role: one judge presents the strongest contrary authority and the best response.</w:t>
            </w:r>
          </w:p>
          <w:p w14:paraId="177FB909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During drafting, mark the holding and its limits; avoid unnecessary breadth.</w:t>
            </w:r>
          </w:p>
          <w:p w14:paraId="19EA3D8D" w14:textId="77777777" w:rsidR="00DC2063" w:rsidRDefault="00000000">
            <w:pPr>
              <w:spacing w:after="50"/>
              <w:ind w:left="180" w:hanging="180"/>
            </w:pPr>
            <w:r>
              <w:rPr>
                <w:b/>
                <w:bCs/>
                <w:color w:val="1A2E5C"/>
                <w:sz w:val="17"/>
                <w:szCs w:val="17"/>
              </w:rPr>
              <w:t xml:space="preserve">→  </w:t>
            </w:r>
            <w:r>
              <w:rPr>
                <w:sz w:val="17"/>
                <w:szCs w:val="17"/>
              </w:rPr>
              <w:t xml:space="preserve">Do a “losing party” read for tone and clarity; revise to address the best point directly.</w:t>
            </w:r>
          </w:p>
        </w:tc>
      </w:tr>
    </w:tbl>
    <w:p w14:paraId="4A6604F6" w14:textId="77777777" w:rsidR="00DC2063" w:rsidRDefault="00000000">
      <w:pPr>
        <w:spacing w:before="200" w:after="80"/>
      </w:pPr>
      <w:r>
        <w:rPr>
          <w:b/>
          <w:bCs/>
          <w:smallCaps/>
          <w:color w:val="1A2E5C"/>
          <w:sz w:val="16"/>
          <w:szCs w:val="16"/>
        </w:rPr>
        <w:t xml:space="preserve">W h y   R ⁴   W o r k s     —     R e s e a r c h   i n   B r i e f</w:t>
      </w:r>
    </w:p>
    <w:p w14:paraId="46D930FA" w14:textId="77777777" w:rsidR="00DC2063" w:rsidRDefault="00000000">
      <w:pPr>
        <w:spacing w:after="60" w:line="230" w:lineRule="auto"/>
      </w:pPr>
      <w:r>
        <w:rPr>
          <w:i/>
          <w:iCs/>
          <w:color w:val="5A6273"/>
          <w:sz w:val="15"/>
          <w:szCs w:val="15"/>
        </w:rPr>
        <w:t>Each step is grounded in procedural-justice, decision-science, judicial-writing, and intellectual-humility literatures. Compact citations follow; full authorities appear in the article and footnotes.</w:t>
      </w:r>
    </w:p>
    <w:p w14:paraId="1538B7F8" w14:textId="77777777" w:rsidR="00DC2063" w:rsidRDefault="00000000">
      <w:pPr>
        <w:spacing w:before="100" w:after="40"/>
      </w:pPr>
      <w:r>
        <w:rPr>
          <w:b/>
          <w:bCs/>
          <w:color w:val="1A2E5C"/>
          <w:sz w:val="17"/>
          <w:szCs w:val="17"/>
        </w:rPr>
        <w:t>R1 — Recognize fallibility</w:t>
      </w:r>
    </w:p>
    <w:p w14:paraId="3BF67412" w14:textId="77777777" w:rsidR="00DC2063" w:rsidRDefault="00000000">
      <w:pPr>
        <w:spacing w:after="40" w:line="230" w:lineRule="auto"/>
      </w:pPr>
      <w:r>
        <w:rPr>
          <w:sz w:val="15"/>
          <w:szCs w:val="15"/>
        </w:rPr>
        <w:t>Intellectual humility predicts openness to opposing views and less myside bias. Porter et al., Predictors and Consequences of Intellectual Humility, 1 Nat. Rev. Psychol. 524 (2022); Porter &amp; Schumann, Intellectual Humility Enhances Openness to Learning About the Opposing View, 12 Self &amp; Identity 1 (2017); Bowes et al., Stepping Outside the Echo Chamber, 48 Pers. &amp; Soc. Psychol. Bull. 150 (2022).</w:t>
      </w:r>
    </w:p>
    <w:p w14:paraId="78CF9B3F" w14:textId="77777777" w:rsidR="00DC2063" w:rsidRDefault="00000000">
      <w:pPr>
        <w:spacing w:after="40" w:line="230" w:lineRule="auto"/>
      </w:pPr>
      <w:r>
        <w:rPr>
          <w:sz w:val="15"/>
          <w:szCs w:val="15"/>
        </w:rPr>
        <w:t>Decision-quality checks — “consider the opposite,” outside-view prompts, premortems — counter overconfidence and reduce avoidable error. Kahneman, Sibony &amp; Sunstein, Noise: A Flaw in Human Judgment (Little, Brown 2021); Burns &amp; Winthrop, The Art and Science of Pre-Mortems (Brookings 2025); Casey, Burke &amp; Leben, Minding the Court, 49 Court Rev. 76 (2013).</w:t>
      </w:r>
    </w:p>
    <w:p w14:paraId="4F83AF61" w14:textId="77777777" w:rsidR="00DC2063" w:rsidRDefault="00000000">
      <w:pPr>
        <w:spacing w:before="100" w:after="40"/>
      </w:pPr>
      <w:r>
        <w:rPr>
          <w:b/>
          <w:bCs/>
          <w:color w:val="1A2E5C"/>
          <w:sz w:val="17"/>
          <w:szCs w:val="17"/>
        </w:rPr>
        <w:t>R2 — Reflect before ruling</w:t>
      </w:r>
    </w:p>
    <w:p w14:paraId="09EC00DF" w14:textId="77777777" w:rsidR="00DC2063" w:rsidRDefault="00000000">
      <w:pPr>
        <w:spacing w:after="40" w:line="230" w:lineRule="auto"/>
      </w:pPr>
      <w:r>
        <w:rPr>
          <w:sz w:val="15"/>
          <w:szCs w:val="15"/>
        </w:rPr>
        <w:t>Voice, neutrality, respectful treatment, and trustworthiness predict perceived fairness and acceptance — especially for losing parties. Tyler, Procedural Justice and the Courts, 44 Ct. Rev. 26 (2007–2008); Leben, Getting It Right Isn’t Enough, 69 U. Kan. L. Rev. 13 (2020); Hennepin County court fairness studies (2004–05).</w:t>
      </w:r>
    </w:p>
    <w:p w14:paraId="3DEA1C51" w14:textId="77777777" w:rsidR="00DC2063" w:rsidRDefault="00000000">
      <w:pPr>
        <w:spacing w:after="40" w:line="230" w:lineRule="auto"/>
      </w:pPr>
      <w:r>
        <w:rPr>
          <w:sz w:val="15"/>
          <w:szCs w:val="15"/>
        </w:rPr>
        <w:t xml:space="preserve">Listening is trainable; feeling heard supports openness and intellectual humility. Itzchakov et al., Listening to Understand, 126 J. Pers. &amp; Soc. Psychol.: Attitudes &amp; Soc. Cognition 213 (2024); Reis et al., Perceived Partner Responsiveness Promotes Intellectual Humility, 79 J. Experimental Soc. Psychol. 21 (2018); Farley, Jensen &amp; Rempel, Improving Courtroom Communication (Ctr. for Ct. Innovation &amp; Nat’l Judicial Coll. 2014).</w:t>
      </w:r>
    </w:p>
    <w:p w14:paraId="594D16D5" w14:textId="77777777" w:rsidR="00DC2063" w:rsidRDefault="00000000">
      <w:pPr>
        <w:spacing w:before="100" w:after="40"/>
      </w:pPr>
      <w:r>
        <w:rPr>
          <w:b/>
          <w:bCs/>
          <w:color w:val="1A2E5C"/>
          <w:sz w:val="17"/>
          <w:szCs w:val="17"/>
        </w:rPr>
        <w:t>R3 — Respond with reasons</w:t>
      </w:r>
    </w:p>
    <w:p w14:paraId="7D71C730" w14:textId="77777777" w:rsidR="00DC2063" w:rsidRDefault="00000000">
      <w:pPr>
        <w:spacing w:after="40" w:line="230" w:lineRule="auto"/>
      </w:pPr>
      <w:r>
        <w:rPr>
          <w:sz w:val="15"/>
          <w:szCs w:val="15"/>
        </w:rPr>
        <w:t>Explanations and transparency make voice and neutrality visible and can strengthen legitimacy. Tyler, supra; Leben, supra.</w:t>
      </w:r>
    </w:p>
    <w:p w14:paraId="10F3662A" w14:textId="77777777" w:rsidR="00DC2063" w:rsidRDefault="00000000">
      <w:pPr>
        <w:spacing w:after="40" w:line="230" w:lineRule="auto"/>
      </w:pPr>
      <w:r>
        <w:rPr>
          <w:sz w:val="15"/>
          <w:szCs w:val="15"/>
        </w:rPr>
        <w:t>Reader-first structure, plain language, and disciplined tone improve comprehension and reduce perceived arbitrariness. Garner, The Redbook (5th ed. 2023); Kimble, Writing for Dollars, Writing to Please (2d ed. 2023); McCormack, Access to Justice Requires Plain Language, Mich. B.J. 44 (Feb. 2021).</w:t>
      </w:r>
    </w:p>
    <w:p w14:paraId="64A3181F" w14:textId="77777777" w:rsidR="00DC2063" w:rsidRDefault="00000000">
      <w:pPr>
        <w:spacing w:before="100" w:after="40"/>
      </w:pPr>
      <w:r>
        <w:rPr>
          <w:b/>
          <w:bCs/>
          <w:color w:val="1A2E5C"/>
          <w:sz w:val="17"/>
          <w:szCs w:val="17"/>
        </w:rPr>
        <w:t>R4 — Reassess after decision</w:t>
      </w:r>
    </w:p>
    <w:p w14:paraId="5FE1464F" w14:textId="77777777" w:rsidR="00DC2063" w:rsidRDefault="00000000">
      <w:pPr>
        <w:spacing w:after="40" w:line="230" w:lineRule="auto"/>
      </w:pPr>
      <w:r>
        <w:rPr>
          <w:sz w:val="15"/>
          <w:szCs w:val="15"/>
        </w:rPr>
        <w:t xml:space="preserve">Constructive disagreement and dissent broaden thinking and improve independent reasoning in groups. Nemeth, In Defense of Troublemakers (2018); Krumrei-Mancuso et al., Toward an Understanding of Collective Intellectual Humility, Trends Cogn. Sci. (2025).</w:t>
      </w:r>
    </w:p>
    <w:p w14:paraId="605337DD" w14:textId="77777777" w:rsidR="00DC2063" w:rsidRDefault="00000000">
      <w:pPr>
        <w:spacing w:after="40" w:line="230" w:lineRule="auto"/>
      </w:pPr>
      <w:r>
        <w:rPr>
          <w:sz w:val="15"/>
          <w:szCs w:val="15"/>
        </w:rPr>
        <w:t>Feedback loops, brief retros, and template updates support learning over time. Casey, Burke &amp; Leben, supra.</w:t>
      </w:r>
    </w:p>
    <w:p w14:paraId="7392FA17" w14:textId="77777777" w:rsidR="00DC2063" w:rsidRDefault="00000000">
      <w:pPr>
        <w:spacing w:before="160"/>
      </w:pPr>
      <w:r>
        <w:rPr>
          <w:sz w:val="4"/>
          <w:szCs w:val="4"/>
        </w:rPr>
        <w:t xml:space="preserve"> 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DC2063" w14:paraId="65D35307" w14:textId="77777777">
        <w:trPr>
          <w:cantSplit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2E5C"/>
            <w:tcMar>
              <w:top w:w="200" w:type="dxa"/>
              <w:left w:w="320" w:type="dxa"/>
              <w:bottom w:w="200" w:type="dxa"/>
              <w:right w:w="320" w:type="dxa"/>
            </w:tcMar>
          </w:tcPr>
          <w:p w14:paraId="68913844" w14:textId="77777777" w:rsidR="00DC2063" w:rsidRDefault="00000000">
            <w:pPr>
              <w:spacing w:after="60"/>
            </w:pPr>
            <w:r>
              <w:rPr>
                <w:b/>
                <w:bCs/>
                <w:smallCaps/>
                <w:color w:val="E8DEC1"/>
                <w:sz w:val="16"/>
                <w:szCs w:val="16"/>
              </w:rPr>
              <w:t>P r e p a r e d   B y</w:t>
            </w:r>
          </w:p>
          <w:p w14:paraId="262888E8" w14:textId="77777777" w:rsidR="00DC2063" w:rsidRDefault="00000000">
            <w:pPr>
              <w:spacing w:after="60"/>
            </w:pPr>
            <w:r>
              <w:rPr>
                <w:rFonts w:ascii="Georgia" w:eastAsia="Georgia" w:hAnsi="Georgia" w:cs="Georgia"/>
                <w:b/>
                <w:bCs/>
                <w:color w:val="FFFFFF"/>
                <w:sz w:val="28"/>
                <w:szCs w:val="28"/>
              </w:rPr>
              <w:t>Prof. Steve Leben</w:t>
            </w:r>
          </w:p>
          <w:p w14:paraId="7C18FDF3" w14:textId="77777777" w:rsidR="00DC2063" w:rsidRDefault="00000000">
            <w:r>
              <w:rPr>
                <w:i/>
                <w:iCs/>
                <w:color w:val="FFFFFF"/>
                <w:sz w:val="16"/>
                <w:szCs w:val="16"/>
              </w:rPr>
              <w:t>Douglas R. Stripp Distinguished Professor of Law, UMKC School of Law</w:t>
            </w:r>
          </w:p>
        </w:tc>
      </w:tr>
      <w:tr w:rsidR="00DC2063" w14:paraId="143FAE1D" w14:textId="77777777">
        <w:trPr>
          <w:cantSplit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EFE0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7252834" w14:textId="77777777" w:rsidR="00DC2063" w:rsidRDefault="00000000">
            <w:pPr>
              <w:spacing w:after="50"/>
            </w:pPr>
            <w:r>
              <w:rPr>
                <w:b/>
                <w:bCs/>
                <w:smallCaps/>
                <w:color w:val="1A2E5C"/>
                <w:sz w:val="16"/>
                <w:szCs w:val="16"/>
              </w:rPr>
              <w:t>S o u r c e</w:t>
            </w:r>
          </w:p>
          <w:p w14:paraId="59637DAD" w14:textId="77777777" w:rsidR="00DC2063" w:rsidRDefault="00000000">
            <w:pPr>
              <w:spacing w:after="0"/>
            </w:pPr>
            <w:r>
              <w:rPr>
                <w:sz w:val="16"/>
                <w:szCs w:val="16"/>
              </w:rPr>
              <w:t xml:space="preserve">Reprinted from Steve Leben, Intellectual Humility by Design: How Courts Earn Legitimacy and Improve Decisions, 79 Ark. L. Rev. 145 (2026).</w:t>
            </w:r>
          </w:p>
        </w:tc>
      </w:tr>
    </w:tbl>
    <w:p w14:paraId="6A0756EA" w14:textId="77777777" w:rsidR="00A135BF" w:rsidRDefault="00A135BF"/>
    <w:sectPr w:rsidR="00A135BF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38A"/>
    <w:multiLevelType w:val="hybridMultilevel"/>
    <w:tmpl w:val="CCBAA53A"/>
    <w:lvl w:ilvl="0" w:tplc="21540086">
      <w:start w:val="1"/>
      <w:numFmt w:val="bullet"/>
      <w:lvlText w:val="●"/>
      <w:lvlJc w:val="left"/>
      <w:pPr>
        <w:ind w:left="720" w:hanging="360"/>
      </w:pPr>
    </w:lvl>
    <w:lvl w:ilvl="1" w:tplc="56DEEC36">
      <w:start w:val="1"/>
      <w:numFmt w:val="bullet"/>
      <w:lvlText w:val="○"/>
      <w:lvlJc w:val="left"/>
      <w:pPr>
        <w:ind w:left="1440" w:hanging="360"/>
      </w:pPr>
    </w:lvl>
    <w:lvl w:ilvl="2" w:tplc="5D5E645A">
      <w:start w:val="1"/>
      <w:numFmt w:val="bullet"/>
      <w:lvlText w:val="■"/>
      <w:lvlJc w:val="left"/>
      <w:pPr>
        <w:ind w:left="2160" w:hanging="360"/>
      </w:pPr>
    </w:lvl>
    <w:lvl w:ilvl="3" w:tplc="5B52DC48">
      <w:start w:val="1"/>
      <w:numFmt w:val="bullet"/>
      <w:lvlText w:val="●"/>
      <w:lvlJc w:val="left"/>
      <w:pPr>
        <w:ind w:left="2880" w:hanging="360"/>
      </w:pPr>
    </w:lvl>
    <w:lvl w:ilvl="4" w:tplc="35685A30">
      <w:start w:val="1"/>
      <w:numFmt w:val="bullet"/>
      <w:lvlText w:val="○"/>
      <w:lvlJc w:val="left"/>
      <w:pPr>
        <w:ind w:left="3600" w:hanging="360"/>
      </w:pPr>
    </w:lvl>
    <w:lvl w:ilvl="5" w:tplc="536E2C72">
      <w:start w:val="1"/>
      <w:numFmt w:val="bullet"/>
      <w:lvlText w:val="■"/>
      <w:lvlJc w:val="left"/>
      <w:pPr>
        <w:ind w:left="4320" w:hanging="360"/>
      </w:pPr>
    </w:lvl>
    <w:lvl w:ilvl="6" w:tplc="59AEE3D4">
      <w:start w:val="1"/>
      <w:numFmt w:val="bullet"/>
      <w:lvlText w:val="●"/>
      <w:lvlJc w:val="left"/>
      <w:pPr>
        <w:ind w:left="5040" w:hanging="360"/>
      </w:pPr>
    </w:lvl>
    <w:lvl w:ilvl="7" w:tplc="BDACF2D2">
      <w:start w:val="1"/>
      <w:numFmt w:val="bullet"/>
      <w:lvlText w:val="●"/>
      <w:lvlJc w:val="left"/>
      <w:pPr>
        <w:ind w:left="5760" w:hanging="360"/>
      </w:pPr>
    </w:lvl>
    <w:lvl w:ilvl="8" w:tplc="03C4E66C">
      <w:start w:val="1"/>
      <w:numFmt w:val="bullet"/>
      <w:lvlText w:val="●"/>
      <w:lvlJc w:val="left"/>
      <w:pPr>
        <w:ind w:left="6480" w:hanging="360"/>
      </w:pPr>
    </w:lvl>
  </w:abstractNum>
  <w:num w:numId="1" w16cid:durableId="2458497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063"/>
    <w:rsid w:val="00A135BF"/>
    <w:rsid w:val="00B26AB3"/>
    <w:rsid w:val="00D74926"/>
    <w:rsid w:val="00DC2063"/>
    <w:rsid w:val="00F50A76"/>
    <w:rsid w:val="00FA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FB202C"/>
  <w15:docId w15:val="{1896105C-4DB4-B14B-8FE7-47287895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F1A33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1071</Words>
  <Characters>6160</Characters>
  <Application>Microsoft Office Word</Application>
  <DocSecurity>0</DocSecurity>
  <Lines>154</Lines>
  <Paragraphs>103</Paragraphs>
  <ScaleCrop>false</ScaleCrop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R4 Bench Card — Intellectual Humility by Design</dc:title>
  <dc:creator>Steve Leben</dc:creator>
  <cp:lastModifiedBy>Steve Leben</cp:lastModifiedBy>
  <cp:revision>3</cp:revision>
  <cp:lastPrinted>2026-06-02T14:10:00Z</cp:lastPrinted>
  <dcterms:created xsi:type="dcterms:W3CDTF">2026-05-06T20:47:00Z</dcterms:created>
  <dcterms:modified xsi:type="dcterms:W3CDTF">2026-06-02T14:10:00Z</dcterms:modified>
</cp:coreProperties>
</file>